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9B95" w14:textId="0BBD6DFC" w:rsidR="009D6312" w:rsidRPr="005437B8" w:rsidRDefault="002816B7" w:rsidP="00E30958">
      <w:pPr>
        <w:pStyle w:val="Title"/>
      </w:pPr>
      <w:r w:rsidRPr="005437B8">
        <w:t>Trip Authorization Import Options</w:t>
      </w:r>
    </w:p>
    <w:p w14:paraId="4A2D209F" w14:textId="77777777" w:rsidR="00F335F6" w:rsidRPr="00F335F6" w:rsidRDefault="00F335F6" w:rsidP="00F335F6"/>
    <w:p w14:paraId="7CA67D1C" w14:textId="115794CB" w:rsidR="00D1739C" w:rsidRDefault="001415EA" w:rsidP="001415EA">
      <w:pPr>
        <w:rPr>
          <w:sz w:val="28"/>
          <w:szCs w:val="28"/>
        </w:rPr>
      </w:pPr>
      <w:r w:rsidRPr="005C3976">
        <w:rPr>
          <w:sz w:val="28"/>
          <w:szCs w:val="28"/>
        </w:rPr>
        <w:t>This</w:t>
      </w:r>
      <w:r>
        <w:rPr>
          <w:sz w:val="28"/>
          <w:szCs w:val="28"/>
        </w:rPr>
        <w:t xml:space="preserve"> </w:t>
      </w:r>
      <w:r w:rsidRPr="005C3976">
        <w:rPr>
          <w:sz w:val="28"/>
          <w:szCs w:val="28"/>
        </w:rPr>
        <w:t xml:space="preserve">companion </w:t>
      </w:r>
      <w:r w:rsidR="00600776">
        <w:rPr>
          <w:sz w:val="28"/>
          <w:szCs w:val="28"/>
        </w:rPr>
        <w:t>guide</w:t>
      </w:r>
      <w:r w:rsidRPr="005C3976">
        <w:rPr>
          <w:sz w:val="28"/>
          <w:szCs w:val="28"/>
        </w:rPr>
        <w:t xml:space="preserve"> summarizes the scenarios that </w:t>
      </w:r>
      <w:r w:rsidR="00066145">
        <w:rPr>
          <w:sz w:val="28"/>
          <w:szCs w:val="28"/>
        </w:rPr>
        <w:t>influence</w:t>
      </w:r>
      <w:r w:rsidRPr="005C3976">
        <w:rPr>
          <w:sz w:val="28"/>
          <w:szCs w:val="28"/>
        </w:rPr>
        <w:t xml:space="preserve"> </w:t>
      </w:r>
      <w:r w:rsidRPr="005C3976">
        <w:rPr>
          <w:i/>
          <w:iCs/>
          <w:sz w:val="28"/>
          <w:szCs w:val="28"/>
        </w:rPr>
        <w:t>how</w:t>
      </w:r>
      <w:r w:rsidR="00066145">
        <w:rPr>
          <w:i/>
          <w:iCs/>
          <w:sz w:val="28"/>
          <w:szCs w:val="28"/>
        </w:rPr>
        <w:t xml:space="preserve"> </w:t>
      </w:r>
      <w:r w:rsidRPr="005C3976">
        <w:rPr>
          <w:sz w:val="28"/>
          <w:szCs w:val="28"/>
        </w:rPr>
        <w:t xml:space="preserve">and </w:t>
      </w:r>
      <w:r w:rsidRPr="005C3976">
        <w:rPr>
          <w:i/>
          <w:iCs/>
          <w:sz w:val="28"/>
          <w:szCs w:val="28"/>
        </w:rPr>
        <w:t>when</w:t>
      </w:r>
      <w:r w:rsidRPr="005C3976">
        <w:rPr>
          <w:sz w:val="28"/>
          <w:szCs w:val="28"/>
        </w:rPr>
        <w:t xml:space="preserve"> to</w:t>
      </w:r>
      <w:r w:rsidR="00FB53A2">
        <w:rPr>
          <w:sz w:val="28"/>
          <w:szCs w:val="28"/>
        </w:rPr>
        <w:t xml:space="preserve"> best</w:t>
      </w:r>
      <w:r w:rsidR="00302559">
        <w:rPr>
          <w:sz w:val="28"/>
          <w:szCs w:val="28"/>
        </w:rPr>
        <w:t xml:space="preserve"> use a</w:t>
      </w:r>
      <w:r w:rsidRPr="005C3976">
        <w:rPr>
          <w:sz w:val="28"/>
          <w:szCs w:val="28"/>
        </w:rPr>
        <w:t xml:space="preserve"> TA to </w:t>
      </w:r>
      <w:r w:rsidR="00302559">
        <w:rPr>
          <w:sz w:val="28"/>
          <w:szCs w:val="28"/>
        </w:rPr>
        <w:t>complete a</w:t>
      </w:r>
      <w:r w:rsidRPr="005C3976">
        <w:rPr>
          <w:sz w:val="28"/>
          <w:szCs w:val="28"/>
        </w:rPr>
        <w:t xml:space="preserve"> travel expense report</w:t>
      </w:r>
      <w:r w:rsidR="00E85682">
        <w:rPr>
          <w:sz w:val="28"/>
          <w:szCs w:val="28"/>
        </w:rPr>
        <w:t xml:space="preserve"> as described in</w:t>
      </w:r>
      <w:r w:rsidR="00E85682" w:rsidRPr="005C3976">
        <w:rPr>
          <w:sz w:val="28"/>
          <w:szCs w:val="28"/>
        </w:rPr>
        <w:t xml:space="preserve"> </w:t>
      </w:r>
      <w:hyperlink r:id="rId9" w:history="1">
        <w:r w:rsidR="00E85682" w:rsidRPr="00FA7793">
          <w:rPr>
            <w:rStyle w:val="Hyperlink"/>
            <w:sz w:val="28"/>
            <w:szCs w:val="28"/>
          </w:rPr>
          <w:t>Travel SOP-TVL-12 Trip Authorization Importing Options</w:t>
        </w:r>
      </w:hyperlink>
      <w:r w:rsidRPr="005C3976">
        <w:rPr>
          <w:sz w:val="28"/>
          <w:szCs w:val="28"/>
        </w:rPr>
        <w:t xml:space="preserve">. </w:t>
      </w:r>
    </w:p>
    <w:p w14:paraId="29BC2749" w14:textId="29F38C7A" w:rsidR="00600776" w:rsidRDefault="001415EA" w:rsidP="00A81BD7">
      <w:pPr>
        <w:spacing w:line="240" w:lineRule="auto"/>
        <w:rPr>
          <w:sz w:val="28"/>
          <w:szCs w:val="28"/>
        </w:rPr>
      </w:pPr>
      <w:r w:rsidRPr="005C3976">
        <w:rPr>
          <w:sz w:val="28"/>
          <w:szCs w:val="28"/>
        </w:rPr>
        <w:t xml:space="preserve">Start with the </w:t>
      </w:r>
      <w:r w:rsidRPr="005C3976">
        <w:rPr>
          <w:b/>
          <w:bCs/>
          <w:sz w:val="28"/>
          <w:szCs w:val="28"/>
        </w:rPr>
        <w:t>Use case</w:t>
      </w:r>
      <w:r w:rsidRPr="005C3976">
        <w:rPr>
          <w:sz w:val="28"/>
          <w:szCs w:val="28"/>
        </w:rPr>
        <w:t xml:space="preserve"> column to identify the situation that applies to you. The </w:t>
      </w:r>
      <w:r w:rsidR="00DF2A1A" w:rsidRPr="00DF2A1A">
        <w:rPr>
          <w:b/>
          <w:bCs/>
          <w:sz w:val="28"/>
          <w:szCs w:val="28"/>
        </w:rPr>
        <w:t>Info</w:t>
      </w:r>
      <w:r w:rsidR="00DF2A1A">
        <w:rPr>
          <w:sz w:val="28"/>
          <w:szCs w:val="28"/>
        </w:rPr>
        <w:t xml:space="preserve"> </w:t>
      </w:r>
      <w:r w:rsidR="00DF2A1A">
        <w:rPr>
          <w:b/>
          <w:bCs/>
          <w:sz w:val="28"/>
          <w:szCs w:val="28"/>
        </w:rPr>
        <w:t>r</w:t>
      </w:r>
      <w:r w:rsidRPr="005C3976">
        <w:rPr>
          <w:b/>
          <w:bCs/>
          <w:sz w:val="28"/>
          <w:szCs w:val="28"/>
        </w:rPr>
        <w:t>euse</w:t>
      </w:r>
      <w:r w:rsidR="00DF2A1A">
        <w:rPr>
          <w:b/>
          <w:bCs/>
          <w:sz w:val="28"/>
          <w:szCs w:val="28"/>
        </w:rPr>
        <w:t>d</w:t>
      </w:r>
      <w:r w:rsidRPr="005C3976">
        <w:rPr>
          <w:sz w:val="28"/>
          <w:szCs w:val="28"/>
        </w:rPr>
        <w:t xml:space="preserve"> column shows what information will carry over into your expense report, while the </w:t>
      </w:r>
      <w:r w:rsidRPr="005C3976">
        <w:rPr>
          <w:b/>
          <w:bCs/>
          <w:sz w:val="28"/>
          <w:szCs w:val="28"/>
        </w:rPr>
        <w:t>Outcome</w:t>
      </w:r>
      <w:r w:rsidRPr="005C3976">
        <w:rPr>
          <w:sz w:val="28"/>
          <w:szCs w:val="28"/>
        </w:rPr>
        <w:t xml:space="preserve"> column explains what details you’ll need to enter manually. </w:t>
      </w:r>
      <w:hyperlink r:id="rId10" w:history="1">
        <w:r w:rsidRPr="002C0D17">
          <w:rPr>
            <w:rStyle w:val="Hyperlink"/>
            <w:sz w:val="28"/>
            <w:szCs w:val="28"/>
          </w:rPr>
          <w:t>Refer to</w:t>
        </w:r>
        <w:r w:rsidR="002C0D17" w:rsidRPr="002C0D17">
          <w:rPr>
            <w:rStyle w:val="Hyperlink"/>
            <w:sz w:val="28"/>
            <w:szCs w:val="28"/>
          </w:rPr>
          <w:t xml:space="preserve"> SOP-TVL-12</w:t>
        </w:r>
      </w:hyperlink>
      <w:r w:rsidRPr="005C3976">
        <w:rPr>
          <w:sz w:val="28"/>
          <w:szCs w:val="28"/>
        </w:rPr>
        <w:t xml:space="preserve"> for more on the </w:t>
      </w:r>
      <w:r w:rsidRPr="005C3976">
        <w:rPr>
          <w:b/>
          <w:bCs/>
          <w:sz w:val="28"/>
          <w:szCs w:val="28"/>
        </w:rPr>
        <w:t>When to attach/import</w:t>
      </w:r>
      <w:r w:rsidRPr="005C3976">
        <w:rPr>
          <w:sz w:val="28"/>
          <w:szCs w:val="28"/>
        </w:rPr>
        <w:t xml:space="preserve"> options.</w:t>
      </w:r>
    </w:p>
    <w:tbl>
      <w:tblPr>
        <w:tblpPr w:leftFromText="180" w:rightFromText="180" w:vertAnchor="page" w:horzAnchor="margin" w:tblpY="4235"/>
        <w:tblW w:w="1457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77"/>
        <w:gridCol w:w="4486"/>
        <w:gridCol w:w="4157"/>
        <w:gridCol w:w="3018"/>
        <w:gridCol w:w="1032"/>
      </w:tblGrid>
      <w:tr w:rsidR="00994093" w:rsidRPr="00404E1B" w14:paraId="56132DEB" w14:textId="77777777" w:rsidTr="00DF2A1A">
        <w:trPr>
          <w:trHeight w:val="268"/>
        </w:trPr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00CFA4" w14:textId="46C11F8A" w:rsidR="00994093" w:rsidRPr="00404E1B" w:rsidRDefault="00994093" w:rsidP="00DF2A1A">
            <w:pPr>
              <w:rPr>
                <w:color w:val="FFFFFF" w:themeColor="background1"/>
                <w:sz w:val="24"/>
                <w:szCs w:val="24"/>
              </w:rPr>
            </w:pPr>
            <w:r w:rsidRPr="00404E1B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 </w:t>
            </w:r>
            <w:r w:rsidR="00DF2A1A">
              <w:rPr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00404E1B">
              <w:rPr>
                <w:b/>
                <w:bCs/>
                <w:color w:val="FFFFFF" w:themeColor="background1"/>
                <w:sz w:val="24"/>
                <w:szCs w:val="24"/>
              </w:rPr>
              <w:t>eused</w:t>
            </w:r>
          </w:p>
        </w:tc>
        <w:tc>
          <w:tcPr>
            <w:tcW w:w="448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2A95A1" w14:textId="77777777" w:rsidR="00994093" w:rsidRPr="00404E1B" w:rsidRDefault="00994093" w:rsidP="00DF2A1A">
            <w:pPr>
              <w:rPr>
                <w:color w:val="FFFFFF" w:themeColor="background1"/>
                <w:sz w:val="24"/>
                <w:szCs w:val="24"/>
              </w:rPr>
            </w:pPr>
            <w:r w:rsidRPr="00404E1B">
              <w:rPr>
                <w:b/>
                <w:bCs/>
                <w:color w:val="FFFFFF" w:themeColor="background1"/>
                <w:sz w:val="24"/>
                <w:szCs w:val="24"/>
              </w:rPr>
              <w:t>Use case</w:t>
            </w:r>
          </w:p>
        </w:tc>
        <w:tc>
          <w:tcPr>
            <w:tcW w:w="415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BB0D2B" w14:textId="77777777" w:rsidR="00994093" w:rsidRPr="00404E1B" w:rsidRDefault="00994093" w:rsidP="00DF2A1A">
            <w:pPr>
              <w:rPr>
                <w:color w:val="FFFFFF" w:themeColor="background1"/>
                <w:sz w:val="24"/>
                <w:szCs w:val="24"/>
              </w:rPr>
            </w:pPr>
            <w:r w:rsidRPr="00404E1B">
              <w:rPr>
                <w:b/>
                <w:bCs/>
                <w:color w:val="FFFFFF" w:themeColor="background1"/>
                <w:sz w:val="24"/>
                <w:szCs w:val="24"/>
              </w:rPr>
              <w:t>Outcome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00629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F4EFA2" w14:textId="77777777" w:rsidR="00994093" w:rsidRPr="00404E1B" w:rsidRDefault="00994093" w:rsidP="00DF2A1A">
            <w:pPr>
              <w:rPr>
                <w:color w:val="FFFFFF" w:themeColor="background1"/>
                <w:sz w:val="24"/>
                <w:szCs w:val="24"/>
              </w:rPr>
            </w:pPr>
            <w:r w:rsidRPr="00404E1B">
              <w:rPr>
                <w:b/>
                <w:bCs/>
                <w:color w:val="FFFFFF" w:themeColor="background1"/>
                <w:sz w:val="24"/>
                <w:szCs w:val="24"/>
              </w:rPr>
              <w:t>When to attach/import</w:t>
            </w:r>
          </w:p>
        </w:tc>
        <w:tc>
          <w:tcPr>
            <w:tcW w:w="10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AA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9D87F" w14:textId="77777777" w:rsidR="00994093" w:rsidRPr="00404E1B" w:rsidRDefault="00994093" w:rsidP="00DF2A1A">
            <w:pPr>
              <w:rPr>
                <w:sz w:val="24"/>
                <w:szCs w:val="24"/>
              </w:rPr>
            </w:pPr>
            <w:r w:rsidRPr="00404E1B">
              <w:rPr>
                <w:b/>
                <w:bCs/>
                <w:sz w:val="24"/>
                <w:szCs w:val="24"/>
              </w:rPr>
              <w:t>Option</w:t>
            </w:r>
          </w:p>
        </w:tc>
      </w:tr>
      <w:tr w:rsidR="00994093" w:rsidRPr="00404E1B" w14:paraId="100D76B6" w14:textId="77777777" w:rsidTr="00DF2A1A">
        <w:trPr>
          <w:trHeight w:val="607"/>
        </w:trPr>
        <w:tc>
          <w:tcPr>
            <w:tcW w:w="18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D56989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Header and expenses</w:t>
            </w:r>
          </w:p>
        </w:tc>
        <w:tc>
          <w:tcPr>
            <w:tcW w:w="448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E8C73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Header info correct and expenses only need simple edits</w:t>
            </w:r>
          </w:p>
        </w:tc>
        <w:tc>
          <w:tcPr>
            <w:tcW w:w="415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9F1641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 xml:space="preserve">All work on TA reused </w:t>
            </w:r>
            <w:r w:rsidRPr="00994093">
              <w:rPr>
                <w:b/>
                <w:bCs/>
                <w:sz w:val="26"/>
                <w:szCs w:val="26"/>
              </w:rPr>
              <w:t>and</w:t>
            </w:r>
            <w:r w:rsidRPr="00994093">
              <w:rPr>
                <w:sz w:val="26"/>
                <w:szCs w:val="26"/>
              </w:rPr>
              <w:t xml:space="preserve"> edited on expense report</w:t>
            </w:r>
          </w:p>
        </w:tc>
        <w:tc>
          <w:tcPr>
            <w:tcW w:w="30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25ACD5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First step</w:t>
            </w:r>
          </w:p>
        </w:tc>
        <w:tc>
          <w:tcPr>
            <w:tcW w:w="10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AA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642C8A" w14:textId="77777777" w:rsidR="00994093" w:rsidRPr="00404E1B" w:rsidRDefault="00994093" w:rsidP="00DF2A1A">
            <w:pPr>
              <w:spacing w:line="240" w:lineRule="auto"/>
              <w:rPr>
                <w:sz w:val="24"/>
                <w:szCs w:val="24"/>
              </w:rPr>
            </w:pPr>
            <w:r w:rsidRPr="00404E1B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994093" w:rsidRPr="00404E1B" w14:paraId="09A9CA1E" w14:textId="77777777" w:rsidTr="00DF2A1A">
        <w:trPr>
          <w:trHeight w:val="607"/>
        </w:trPr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8FF004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Expenses</w:t>
            </w:r>
          </w:p>
        </w:tc>
        <w:tc>
          <w:tcPr>
            <w:tcW w:w="4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F7C9BA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Header contains errors, expenses only need simple edits</w:t>
            </w:r>
          </w:p>
        </w:tc>
        <w:tc>
          <w:tcPr>
            <w:tcW w:w="4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02E392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 xml:space="preserve">Manually enter header </w:t>
            </w:r>
            <w:r w:rsidRPr="00994093">
              <w:rPr>
                <w:b/>
                <w:bCs/>
                <w:sz w:val="26"/>
                <w:szCs w:val="26"/>
              </w:rPr>
              <w:t>but</w:t>
            </w:r>
            <w:r w:rsidRPr="00994093">
              <w:rPr>
                <w:sz w:val="26"/>
                <w:szCs w:val="26"/>
              </w:rPr>
              <w:t xml:space="preserve"> import expenses and edit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153BE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After filling header</w:t>
            </w:r>
          </w:p>
        </w:tc>
        <w:tc>
          <w:tcPr>
            <w:tcW w:w="1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AA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569BF5" w14:textId="77777777" w:rsidR="00994093" w:rsidRPr="00404E1B" w:rsidRDefault="00994093" w:rsidP="00DF2A1A">
            <w:pPr>
              <w:spacing w:line="240" w:lineRule="auto"/>
              <w:rPr>
                <w:sz w:val="24"/>
                <w:szCs w:val="24"/>
              </w:rPr>
            </w:pPr>
            <w:r w:rsidRPr="00404E1B">
              <w:rPr>
                <w:b/>
                <w:bCs/>
                <w:sz w:val="24"/>
                <w:szCs w:val="24"/>
              </w:rPr>
              <w:t>2A</w:t>
            </w:r>
          </w:p>
        </w:tc>
      </w:tr>
      <w:tr w:rsidR="00994093" w:rsidRPr="00404E1B" w14:paraId="20FFB78D" w14:textId="77777777" w:rsidTr="00DF2A1A">
        <w:trPr>
          <w:trHeight w:val="607"/>
        </w:trPr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BB98A5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Nothing</w:t>
            </w:r>
          </w:p>
        </w:tc>
        <w:tc>
          <w:tcPr>
            <w:tcW w:w="4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BD12D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Header and expenses contain errors, or “Other” expenses combined</w:t>
            </w:r>
          </w:p>
        </w:tc>
        <w:tc>
          <w:tcPr>
            <w:tcW w:w="4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F48005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 xml:space="preserve">Manually enter </w:t>
            </w:r>
            <w:r w:rsidRPr="00994093">
              <w:rPr>
                <w:b/>
                <w:bCs/>
                <w:sz w:val="26"/>
                <w:szCs w:val="26"/>
              </w:rPr>
              <w:t>all</w:t>
            </w:r>
            <w:r w:rsidRPr="00994093">
              <w:rPr>
                <w:sz w:val="26"/>
                <w:szCs w:val="26"/>
              </w:rPr>
              <w:t xml:space="preserve"> expense report info from scratch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FFD09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After filling header</w:t>
            </w:r>
          </w:p>
        </w:tc>
        <w:tc>
          <w:tcPr>
            <w:tcW w:w="1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AA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B051C" w14:textId="77777777" w:rsidR="00994093" w:rsidRPr="00404E1B" w:rsidRDefault="00994093" w:rsidP="00DF2A1A">
            <w:pPr>
              <w:spacing w:line="240" w:lineRule="auto"/>
              <w:rPr>
                <w:sz w:val="24"/>
                <w:szCs w:val="24"/>
              </w:rPr>
            </w:pPr>
            <w:r w:rsidRPr="00404E1B">
              <w:rPr>
                <w:b/>
                <w:bCs/>
                <w:sz w:val="24"/>
                <w:szCs w:val="24"/>
              </w:rPr>
              <w:t>2B</w:t>
            </w:r>
          </w:p>
        </w:tc>
      </w:tr>
      <w:tr w:rsidR="00994093" w:rsidRPr="00404E1B" w14:paraId="6DB5D9F0" w14:textId="77777777" w:rsidTr="00DF2A1A">
        <w:trPr>
          <w:trHeight w:val="607"/>
        </w:trPr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31656C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Nothing</w:t>
            </w:r>
          </w:p>
        </w:tc>
        <w:tc>
          <w:tcPr>
            <w:tcW w:w="4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0C9639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Header and expenses contain errors, or “Other” expenses combined</w:t>
            </w:r>
          </w:p>
        </w:tc>
        <w:tc>
          <w:tcPr>
            <w:tcW w:w="4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EBCA74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 xml:space="preserve">Manually enter </w:t>
            </w:r>
            <w:r w:rsidRPr="00994093">
              <w:rPr>
                <w:b/>
                <w:bCs/>
                <w:sz w:val="26"/>
                <w:szCs w:val="26"/>
              </w:rPr>
              <w:t>all</w:t>
            </w:r>
            <w:r w:rsidRPr="00994093">
              <w:rPr>
                <w:sz w:val="26"/>
                <w:szCs w:val="26"/>
              </w:rPr>
              <w:t xml:space="preserve"> expense report info from scratch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C2C013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At end</w:t>
            </w:r>
          </w:p>
        </w:tc>
        <w:tc>
          <w:tcPr>
            <w:tcW w:w="1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AA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F5D29" w14:textId="77777777" w:rsidR="00994093" w:rsidRPr="00404E1B" w:rsidRDefault="00994093" w:rsidP="00DF2A1A">
            <w:pPr>
              <w:spacing w:line="240" w:lineRule="auto"/>
              <w:rPr>
                <w:sz w:val="24"/>
                <w:szCs w:val="24"/>
              </w:rPr>
            </w:pPr>
            <w:r w:rsidRPr="00404E1B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994093" w:rsidRPr="00404E1B" w14:paraId="0827D6B7" w14:textId="77777777" w:rsidTr="00DF2A1A">
        <w:trPr>
          <w:trHeight w:val="607"/>
        </w:trPr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76C98A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 xml:space="preserve">Header </w:t>
            </w:r>
          </w:p>
        </w:tc>
        <w:tc>
          <w:tcPr>
            <w:tcW w:w="4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1EAEFE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Header info correct but expenses need significant edits, or reconciling without reimbursements, or “Other” expenses combined</w:t>
            </w:r>
          </w:p>
        </w:tc>
        <w:tc>
          <w:tcPr>
            <w:tcW w:w="41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2C037E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 xml:space="preserve">Import header details </w:t>
            </w:r>
            <w:r w:rsidRPr="00994093">
              <w:rPr>
                <w:b/>
                <w:bCs/>
                <w:sz w:val="26"/>
                <w:szCs w:val="26"/>
              </w:rPr>
              <w:t>but</w:t>
            </w:r>
            <w:r w:rsidRPr="00994093">
              <w:rPr>
                <w:sz w:val="26"/>
                <w:szCs w:val="26"/>
              </w:rPr>
              <w:t xml:space="preserve"> manually enter expenses</w:t>
            </w:r>
          </w:p>
        </w:tc>
        <w:tc>
          <w:tcPr>
            <w:tcW w:w="3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BD3D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EBB9D" w14:textId="77777777" w:rsidR="00994093" w:rsidRPr="00994093" w:rsidRDefault="00994093" w:rsidP="00DF2A1A">
            <w:pPr>
              <w:spacing w:line="240" w:lineRule="auto"/>
              <w:rPr>
                <w:sz w:val="26"/>
                <w:szCs w:val="26"/>
              </w:rPr>
            </w:pPr>
            <w:r w:rsidRPr="00994093">
              <w:rPr>
                <w:sz w:val="26"/>
                <w:szCs w:val="26"/>
              </w:rPr>
              <w:t>First step</w:t>
            </w:r>
          </w:p>
        </w:tc>
        <w:tc>
          <w:tcPr>
            <w:tcW w:w="10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AA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C02A6A" w14:textId="77777777" w:rsidR="00994093" w:rsidRPr="00404E1B" w:rsidRDefault="00994093" w:rsidP="00DF2A1A">
            <w:pPr>
              <w:spacing w:line="240" w:lineRule="auto"/>
              <w:rPr>
                <w:sz w:val="24"/>
                <w:szCs w:val="24"/>
              </w:rPr>
            </w:pPr>
            <w:r w:rsidRPr="00404E1B"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14:paraId="741689CA" w14:textId="77777777" w:rsidR="00DF2A1A" w:rsidRDefault="00DF2A1A" w:rsidP="00A81BD7">
      <w:pPr>
        <w:spacing w:line="240" w:lineRule="auto"/>
        <w:rPr>
          <w:sz w:val="28"/>
          <w:szCs w:val="28"/>
        </w:rPr>
      </w:pPr>
    </w:p>
    <w:p w14:paraId="7294741C" w14:textId="5BAC17B6" w:rsidR="005403E6" w:rsidRPr="00131940" w:rsidRDefault="005403E6" w:rsidP="00A81BD7">
      <w:pPr>
        <w:spacing w:line="240" w:lineRule="auto"/>
      </w:pPr>
      <w:r>
        <w:rPr>
          <w:sz w:val="28"/>
          <w:szCs w:val="28"/>
        </w:rPr>
        <w:t xml:space="preserve">Once you have selected an </w:t>
      </w:r>
      <w:r w:rsidRPr="00FB53A2">
        <w:rPr>
          <w:b/>
          <w:bCs/>
          <w:sz w:val="28"/>
          <w:szCs w:val="28"/>
        </w:rPr>
        <w:t>Option</w:t>
      </w:r>
      <w:r>
        <w:rPr>
          <w:sz w:val="28"/>
          <w:szCs w:val="28"/>
        </w:rPr>
        <w:t>, go back to SOP-TVL-12 to learn what steps to follow</w:t>
      </w:r>
      <w:r w:rsidR="00FB53A2">
        <w:rPr>
          <w:sz w:val="28"/>
          <w:szCs w:val="28"/>
        </w:rPr>
        <w:t xml:space="preserve"> next</w:t>
      </w:r>
      <w:r>
        <w:rPr>
          <w:sz w:val="28"/>
          <w:szCs w:val="28"/>
        </w:rPr>
        <w:t xml:space="preserve">. </w:t>
      </w:r>
    </w:p>
    <w:sectPr w:rsidR="005403E6" w:rsidRPr="00131940" w:rsidSect="00604983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A356A" w14:textId="77777777" w:rsidR="007B41BC" w:rsidRDefault="007B41BC" w:rsidP="007B41BC">
      <w:pPr>
        <w:spacing w:after="0" w:line="240" w:lineRule="auto"/>
      </w:pPr>
      <w:r>
        <w:separator/>
      </w:r>
    </w:p>
  </w:endnote>
  <w:endnote w:type="continuationSeparator" w:id="0">
    <w:p w14:paraId="17A01183" w14:textId="77777777" w:rsidR="007B41BC" w:rsidRDefault="007B41BC" w:rsidP="007B4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87CE" w14:textId="793CEA10" w:rsidR="007B41BC" w:rsidRPr="007B41BC" w:rsidRDefault="007B41BC" w:rsidP="007B41BC">
    <w:pPr>
      <w:pStyle w:val="Footer"/>
      <w:jc w:val="right"/>
      <w:rPr>
        <w:i/>
        <w:iCs/>
      </w:rPr>
    </w:pPr>
    <w:r w:rsidRPr="007B41BC">
      <w:rPr>
        <w:i/>
        <w:iCs/>
      </w:rPr>
      <w:t>Last updated: 1</w:t>
    </w:r>
    <w:r>
      <w:rPr>
        <w:i/>
        <w:iCs/>
      </w:rPr>
      <w:t>0</w:t>
    </w:r>
    <w:r w:rsidRPr="007B41BC">
      <w:rPr>
        <w:i/>
        <w:iCs/>
      </w:rPr>
      <w:t>/</w:t>
    </w:r>
    <w:r>
      <w:rPr>
        <w:i/>
        <w:iCs/>
      </w:rPr>
      <w:t>7</w:t>
    </w:r>
    <w:r w:rsidRPr="007B41BC">
      <w:rPr>
        <w:i/>
        <w:iCs/>
      </w:rPr>
      <w:t>/202</w:t>
    </w:r>
    <w:r>
      <w:rPr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15737" w14:textId="77777777" w:rsidR="007B41BC" w:rsidRDefault="007B41BC" w:rsidP="007B41BC">
      <w:pPr>
        <w:spacing w:after="0" w:line="240" w:lineRule="auto"/>
      </w:pPr>
      <w:r>
        <w:separator/>
      </w:r>
    </w:p>
  </w:footnote>
  <w:footnote w:type="continuationSeparator" w:id="0">
    <w:p w14:paraId="3E688C36" w14:textId="77777777" w:rsidR="007B41BC" w:rsidRDefault="007B41BC" w:rsidP="007B4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83"/>
    <w:rsid w:val="00000C49"/>
    <w:rsid w:val="00066145"/>
    <w:rsid w:val="00067E53"/>
    <w:rsid w:val="00080092"/>
    <w:rsid w:val="000D049C"/>
    <w:rsid w:val="00131940"/>
    <w:rsid w:val="001415EA"/>
    <w:rsid w:val="00182E38"/>
    <w:rsid w:val="001B1F79"/>
    <w:rsid w:val="001E40E0"/>
    <w:rsid w:val="00225BC1"/>
    <w:rsid w:val="002816B7"/>
    <w:rsid w:val="002C0D17"/>
    <w:rsid w:val="00302559"/>
    <w:rsid w:val="00303F16"/>
    <w:rsid w:val="00391BC1"/>
    <w:rsid w:val="00404E1B"/>
    <w:rsid w:val="00436FC5"/>
    <w:rsid w:val="00483BAB"/>
    <w:rsid w:val="004C7AB6"/>
    <w:rsid w:val="005403E6"/>
    <w:rsid w:val="005437B8"/>
    <w:rsid w:val="00563E39"/>
    <w:rsid w:val="005C3976"/>
    <w:rsid w:val="00600776"/>
    <w:rsid w:val="00604983"/>
    <w:rsid w:val="006324DB"/>
    <w:rsid w:val="006832D3"/>
    <w:rsid w:val="006B31C9"/>
    <w:rsid w:val="006C5774"/>
    <w:rsid w:val="006E27EC"/>
    <w:rsid w:val="00735504"/>
    <w:rsid w:val="00770934"/>
    <w:rsid w:val="007B41BC"/>
    <w:rsid w:val="00813283"/>
    <w:rsid w:val="008B6A75"/>
    <w:rsid w:val="0093640F"/>
    <w:rsid w:val="009461E5"/>
    <w:rsid w:val="00994093"/>
    <w:rsid w:val="009D6312"/>
    <w:rsid w:val="009F03A6"/>
    <w:rsid w:val="00A0216E"/>
    <w:rsid w:val="00A02510"/>
    <w:rsid w:val="00A81BD7"/>
    <w:rsid w:val="00BB278D"/>
    <w:rsid w:val="00BB6CDB"/>
    <w:rsid w:val="00BC122C"/>
    <w:rsid w:val="00C115EE"/>
    <w:rsid w:val="00D1739C"/>
    <w:rsid w:val="00D355F4"/>
    <w:rsid w:val="00DF2A1A"/>
    <w:rsid w:val="00E30958"/>
    <w:rsid w:val="00E85682"/>
    <w:rsid w:val="00EB1992"/>
    <w:rsid w:val="00F335F6"/>
    <w:rsid w:val="00FA7793"/>
    <w:rsid w:val="00FB53A2"/>
    <w:rsid w:val="00FC4889"/>
    <w:rsid w:val="00FC761E"/>
    <w:rsid w:val="00FD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9AC6F"/>
  <w15:chartTrackingRefBased/>
  <w15:docId w15:val="{47518010-2518-43C8-8973-BA891087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9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9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9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9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fohighlight">
    <w:name w:val="Info highlight"/>
    <w:basedOn w:val="Normal"/>
    <w:link w:val="InfohighlightChar"/>
    <w:autoRedefine/>
    <w:qFormat/>
    <w:rsid w:val="004C7AB6"/>
    <w:pPr>
      <w:pBdr>
        <w:left w:val="single" w:sz="24" w:space="4" w:color="49AFC7"/>
      </w:pBdr>
      <w:shd w:val="solid" w:color="E9F6FC" w:fill="auto"/>
      <w:spacing w:before="120"/>
      <w:ind w:left="810" w:right="1440"/>
    </w:pPr>
  </w:style>
  <w:style w:type="character" w:customStyle="1" w:styleId="InfohighlightChar">
    <w:name w:val="Info highlight Char"/>
    <w:basedOn w:val="DefaultParagraphFont"/>
    <w:link w:val="Infohighlight"/>
    <w:rsid w:val="004C7AB6"/>
    <w:rPr>
      <w:shd w:val="solid" w:color="E9F6FC" w:fill="auto"/>
    </w:rPr>
  </w:style>
  <w:style w:type="paragraph" w:customStyle="1" w:styleId="Message">
    <w:name w:val="Message"/>
    <w:basedOn w:val="Infohighlight"/>
    <w:link w:val="MessageChar"/>
    <w:qFormat/>
    <w:rsid w:val="004C7AB6"/>
    <w:pPr>
      <w:pBdr>
        <w:left w:val="single" w:sz="24" w:space="4" w:color="F5BB17"/>
      </w:pBdr>
      <w:shd w:val="solid" w:color="FDF7E7" w:fill="auto"/>
    </w:pPr>
  </w:style>
  <w:style w:type="character" w:customStyle="1" w:styleId="MessageChar">
    <w:name w:val="Message Char"/>
    <w:basedOn w:val="InfohighlightChar"/>
    <w:link w:val="Message"/>
    <w:rsid w:val="004C7AB6"/>
    <w:rPr>
      <w:shd w:val="solid" w:color="FDF7E7" w:fill="auto"/>
    </w:rPr>
  </w:style>
  <w:style w:type="paragraph" w:customStyle="1" w:styleId="WarningHighlight">
    <w:name w:val="Warning Highlight"/>
    <w:basedOn w:val="Normal"/>
    <w:link w:val="WarningHighlightChar"/>
    <w:qFormat/>
    <w:rsid w:val="004C7AB6"/>
    <w:pPr>
      <w:pBdr>
        <w:left w:val="single" w:sz="24" w:space="4" w:color="F25B19"/>
      </w:pBdr>
      <w:shd w:val="solid" w:color="FDEEE8" w:fill="auto"/>
      <w:spacing w:after="120"/>
      <w:jc w:val="center"/>
    </w:pPr>
  </w:style>
  <w:style w:type="character" w:customStyle="1" w:styleId="WarningHighlightChar">
    <w:name w:val="Warning Highlight Char"/>
    <w:basedOn w:val="DefaultParagraphFont"/>
    <w:link w:val="WarningHighlight"/>
    <w:rsid w:val="004C7AB6"/>
    <w:rPr>
      <w:shd w:val="solid" w:color="FDEEE8" w:fill="auto"/>
    </w:rPr>
  </w:style>
  <w:style w:type="paragraph" w:styleId="Title">
    <w:name w:val="Title"/>
    <w:basedOn w:val="Normal"/>
    <w:next w:val="Normal"/>
    <w:link w:val="TitleChar"/>
    <w:uiPriority w:val="10"/>
    <w:qFormat/>
    <w:rsid w:val="004C7A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049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9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9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9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9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9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9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9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983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9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9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9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9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9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9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0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40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0776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4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1BC"/>
  </w:style>
  <w:style w:type="paragraph" w:styleId="Footer">
    <w:name w:val="footer"/>
    <w:basedOn w:val="Normal"/>
    <w:link w:val="FooterChar"/>
    <w:uiPriority w:val="99"/>
    <w:unhideWhenUsed/>
    <w:rsid w:val="007B4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procurement.iu.edu/sop/sop-tvl-12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procurement.iu.edu/sop/sop-tvl-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1C8895BA7C54B9D055EFB3355F8C7" ma:contentTypeVersion="23" ma:contentTypeDescription="Create a new document." ma:contentTypeScope="" ma:versionID="0435e4d2c894db314b295ea183232eb6">
  <xsd:schema xmlns:xsd="http://www.w3.org/2001/XMLSchema" xmlns:xs="http://www.w3.org/2001/XMLSchema" xmlns:p="http://schemas.microsoft.com/office/2006/metadata/properties" xmlns:ns2="008d4808-2be8-494a-9de6-86d99c9b77d8" xmlns:ns3="b9c4338a-6b45-429a-a0c3-a56dfdbe0b41" targetNamespace="http://schemas.microsoft.com/office/2006/metadata/properties" ma:root="true" ma:fieldsID="5eb077851f26cf24e309ce53442aca3f" ns2:_="" ns3:_="">
    <xsd:import namespace="008d4808-2be8-494a-9de6-86d99c9b77d8"/>
    <xsd:import namespace="b9c4338a-6b45-429a-a0c3-a56dfdbe0b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d4808-2be8-494a-9de6-86d99c9b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6dc654-a2bf-4800-901c-d5e64a6cf4d9}" ma:internalName="TaxCatchAll" ma:showField="CatchAllData" ma:web="008d4808-2be8-494a-9de6-86d99c9b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4338a-6b45-429a-a0c3-a56dfdbe0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eec0a79-46cb-4568-9b1b-2d720bd32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8d4808-2be8-494a-9de6-86d99c9b77d8" xsi:nil="true"/>
    <lcf76f155ced4ddcb4097134ff3c332f xmlns="b9c4338a-6b45-429a-a0c3-a56dfdbe0b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37446-184D-423C-90FD-DBDF8D023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8d4808-2be8-494a-9de6-86d99c9b77d8"/>
    <ds:schemaRef ds:uri="b9c4338a-6b45-429a-a0c3-a56dfdbe0b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62316F-1EC1-4C5D-AF15-377472A25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1C4E17-0B5B-448D-996F-7E5C713CF467}">
  <ds:schemaRefs>
    <ds:schemaRef ds:uri="http://schemas.microsoft.com/office/2006/metadata/properties"/>
    <ds:schemaRef ds:uri="http://schemas.microsoft.com/office/infopath/2007/PartnerControls"/>
    <ds:schemaRef ds:uri="008d4808-2be8-494a-9de6-86d99c9b77d8"/>
    <ds:schemaRef ds:uri="b9c4338a-6b45-429a-a0c3-a56dfdbe0b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Company>Indiana University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Juliet Christine</dc:creator>
  <cp:keywords/>
  <dc:description/>
  <cp:lastModifiedBy>Roberts, Juliet Christine</cp:lastModifiedBy>
  <cp:revision>2</cp:revision>
  <dcterms:created xsi:type="dcterms:W3CDTF">2025-10-07T15:04:00Z</dcterms:created>
  <dcterms:modified xsi:type="dcterms:W3CDTF">2025-10-07T15:04:00Z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0x0101003F31C8895BA7C54B9D055EFB3355F8C7</vt:lpwstr>
  </property>
  <property fmtid="{D5CDD505-2E9C-101B-9397-08002B2CF9AE}" pid="3" name="MediaServiceImageTags">
    <vt:lpwstr/>
  </property>
</Properties>
</file>